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Title"/>
        <w:jc w:val="center"/>
      </w:pPr>
      <w:r>
        <w:t>Согласие на обработку персональных данных при обращении в сервис ОблаДом</w:t>
      </w:r>
    </w:p>
    <w:p>
      <w:pPr>
        <w:keepNext w:val="0"/>
        <w:widowControl/>
        <w:jc w:val="both"/>
      </w:pPr>
      <w:r>
        <w:t>Сайт https://obladom.ru/</w:t>
      </w:r>
    </w:p>
    <w:p>
      <w:pPr>
        <w:keepNext w:val="0"/>
        <w:widowControl/>
        <w:jc w:val="both"/>
      </w:pPr>
      <w:r>
        <w:rPr/>
        <w:t>Дата редакции: 14 октября 2026 года.</w:t>
      </w:r>
    </w:p>
    <w:p>
      <w:pPr>
        <w:keepNext w:val="0"/>
        <w:widowControl/>
        <w:jc w:val="both"/>
      </w:pPr>
      <w:r>
        <w:t>Я, пользователь, направляющий обращение через форму обратной связи сервиса «ОблаДом», свободно, своей волей и в своём интересе даю ООО «Радианс», ОГРН 1260800002308, ИНН 0800038500, КПП 080001001 (далее — Оператор) согласие на обработку указанных ниже персональных данных.</w:t>
      </w:r>
    </w:p>
    <w:p>
      <w:pPr>
        <w:keepNext w:val="0"/>
        <w:widowControl/>
        <w:jc w:val="both"/>
      </w:pPr>
      <w:r>
        <w:t>Юридический адрес Оператора: 420054, Республика Татарстан, г. Казань, ул. Техническая, д. 23А, склад 8. Почтовый адрес: 420025, Республика Татарстан, г. Казань, ул. Петра Полушкина, д. 6, кв. 264.</w:t>
      </w:r>
    </w:p>
    <w:p>
      <w:pPr>
        <w:pStyle w:val="Heading1"/>
        <w:widowControl/>
        <w:jc w:val="left"/>
      </w:pPr>
      <w:r>
        <w:t>1 Цель и состав данных</w:t>
      </w:r>
    </w:p>
    <w:p>
      <w:pPr>
        <w:keepNext w:val="0"/>
        <w:widowControl/>
        <w:jc w:val="both"/>
      </w:pPr>
      <w:r>
        <w:t>1.1. Цель обработки — рассмотреть моё обращение о сервисе «ОблаДом», уточнить вопрос при необходимости и направить ответ выбранным мной способом связи.</w:t>
      </w:r>
    </w:p>
    <w:p>
      <w:pPr>
        <w:keepNext w:val="0"/>
        <w:widowControl/>
        <w:jc w:val="both"/>
      </w:pPr>
      <w:r>
        <w:t>1.2. Согласие распространяется на предоставленные в форме имя, номер телефона и/или адрес электронной почты, текст обращения и необходимую для ответа переписку. Я не должен указывать данные о здоровье, документы, платёжные реквизиты или сведения о третьих лицах, не необходимые для моего вопроса.</w:t>
      </w:r>
    </w:p>
    <w:p>
      <w:pPr>
        <w:keepNext w:val="0"/>
        <w:widowControl/>
        <w:jc w:val="both"/>
      </w:pPr>
      <w:r>
        <w:t>1.3. Согласие не распространяется на рекламные рассылки, ретаргетинг, веб-аналитику, публикацию моих данных или фотографий. Для таких действий требуется самостоятельное законное основание.</w:t>
      </w:r>
    </w:p>
    <w:p>
      <w:pPr>
        <w:pStyle w:val="Heading1"/>
        <w:widowControl/>
        <w:jc w:val="left"/>
      </w:pPr>
      <w:r>
        <w:t>2 Операции и способ обработки</w:t>
      </w:r>
    </w:p>
    <w:p>
      <w:pPr>
        <w:keepNext w:val="0"/>
        <w:widowControl/>
        <w:jc w:val="both"/>
      </w:pPr>
      <w:r>
        <w:t>2.1. Разрешаю сбор, запись, систематизацию, накопление, хранение, уточнение, извлечение, использование для ответа, блокирование, удаление и уничтожение указанных данных с применением средств автоматизации и без них.</w:t>
      </w:r>
    </w:p>
    <w:p>
      <w:pPr>
        <w:keepNext w:val="0"/>
        <w:widowControl/>
        <w:jc w:val="both"/>
      </w:pPr>
      <w:r>
        <w:t>2.2. Доступ предоставляется уполномоченным работникам Оператора для рассмотрения обращения. Настоящее согласие не является разрешением на передачу данных неопределённому кругу лиц или поручение обработки неуказанным третьим лицам. Если для обработки на основании согласия привлекается внешний обработчик и закон требует моего согласия, до передачи мне сообщаются его наименование, адрес и поручаемые действия и запрашивается соответствующее согласие.</w:t>
      </w:r>
    </w:p>
    <w:p>
      <w:pPr>
        <w:pStyle w:val="Heading1"/>
        <w:widowControl/>
        <w:jc w:val="left"/>
      </w:pPr>
      <w:r>
        <w:t>3 Предоставление и срок согласия</w:t>
      </w:r>
    </w:p>
    <w:p>
      <w:pPr>
        <w:keepNext w:val="0"/>
        <w:widowControl/>
        <w:jc w:val="both"/>
      </w:pPr>
      <w:r>
        <w:t>3.1. Согласие предоставляется путём самостоятельного проставления незаполненной заранее отметки «Даю согласие на обработку персональных данных для рассмотрения обращения» со ссылкой на настоящий текст и последующей отправки формы. Оно оформляется отдельно от принятия Оферты, Пользовательского соглашения и иных согласий.</w:t>
      </w:r>
    </w:p>
    <w:p>
      <w:pPr>
        <w:keepNext w:val="0"/>
        <w:widowControl/>
        <w:jc w:val="both"/>
      </w:pPr>
      <w:r>
        <w:t>3.2. Согласие действует с отправки формы до завершения рассмотрения обращения, но не более 90 календарных дней после последнего сообщения по нему, либо до более раннего отзыва. Оператор сохраняет сведения, подтверждающие предоставление согласия и его редакцию, в необходимом для выполнения закона объёме и на соответствующем основании.</w:t>
      </w:r>
    </w:p>
    <w:p>
      <w:pPr>
        <w:keepNext w:val="0"/>
        <w:widowControl/>
        <w:jc w:val="both"/>
      </w:pPr>
      <w:r>
        <w:t>3.3. Я вправе не давать согласие. В таком случае форма, основанная на этом согласии, не отправляется; я могу использовать иной доступный канал связи. Обработка данных по действующему договору или предусмотренному законом требованию определяется соответствующим правовым основанием и не ставится в зависимость от этого согласия.</w:t>
      </w:r>
    </w:p>
    <w:p>
      <w:pPr>
        <w:pStyle w:val="Heading1"/>
        <w:widowControl/>
        <w:jc w:val="left"/>
      </w:pPr>
      <w:r>
        <w:t>4 Отзыв и права</w:t>
      </w:r>
    </w:p>
    <w:p>
      <w:pPr>
        <w:keepNext w:val="0"/>
        <w:widowControl/>
        <w:jc w:val="both"/>
      </w:pPr>
      <w:r>
        <w:t>4.1. Я могу отозвать согласие заявлением по почтовому адресу Оператора. Для поиска обращения достаточно указать использованный контакт и сведения, позволяющие соотнести заявление с обращением; при необходимости Оператор запрашивает соразмерное подтверждение личности.</w:t>
      </w:r>
    </w:p>
    <w:p>
      <w:pPr>
        <w:keepNext w:val="0"/>
        <w:widowControl/>
        <w:jc w:val="both"/>
      </w:pPr>
      <w:r>
        <w:t>4.2. После отзыва Оператор прекращает обработку и уничтожает данные в предусмотренный законом срок, как правило в течение 30 дней, если их сохранение не требуется на ином законном основании. Если обращение связано с договором или обязательным рассмотрением требования, необходимые данные могут обрабатываться на этом самостоятельном основании.</w:t>
      </w:r>
    </w:p>
    <w:p>
      <w:pPr>
        <w:keepNext w:val="0"/>
        <w:widowControl/>
        <w:jc w:val="both"/>
      </w:pPr>
      <w:r>
        <w:t>4.3. Я вправе запросить информацию об обработке, уточнение, блокирование или уничтожение данных в предусмотренных законом случаях и обратиться за защитой прав в Роскомнадзор или суд. Подробная информация доступна в Политике в отношении обработки персональных данных сервиса «ОблаДом» на Сайте.</w:t>
      </w:r>
    </w:p>
    <w:sectPr>
      <w:headerReference w:type="default" r:id="rId7"/>
      <w:footerReference w:type="default" r:id="rId8"/>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6" w:lineRule="auto"/>
      </w:pPr>
    </w:pPrDefault>
  </w:docDefaults>
  <w:style w:type="paragraph" w:styleId="Normal" w:default="1">
    <w:name w:val="normal"/>
    <w:pPr>
      <w:spacing w:before="0" w:after="120" w:line="259" w:lineRule="auto"/>
      <w:ind w:firstLine="0" w:left="0" w:right="0"/>
    </w:pPr>
    <w:rPr>
      <w:rFonts w:ascii="Times New Roman" w:hAnsi="Times New Roman"/>
      <w:color w:val="000000"/>
      <w:sz w:val="24"/>
    </w:rPr>
  </w:style>
  <w:style w:type="table" w:styleId="TableNormal" w:default="1">
    <w:name w:val="TableNormal"/>
  </w:style>
  <w:style w:type="paragraph" w:styleId="Heading1">
    <w:name w:val="heading 1"/>
    <w:basedOn w:val="Normal"/>
    <w:next w:val="Normal"/>
    <w:pPr>
      <w:keepNext/>
      <w:keepLines w:val="1"/>
      <w:spacing w:after="120" w:before="160" w:lineRule="auto" w:line="259"/>
      <w:ind w:firstLine="0" w:left="0" w:right="0"/>
    </w:pPr>
    <w:rPr>
      <w:rFonts w:ascii="Times New Roman" w:hAnsi="Times New Roman"/>
      <w:b/>
      <w:color w:val="000000"/>
      <w:sz w:val="24"/>
      <w:szCs w:val="48"/>
    </w:rPr>
  </w:style>
  <w:style w:type="paragraph" w:styleId="Heading2">
    <w:name w:val="heading 2"/>
    <w:basedOn w:val="Normal"/>
    <w:next w:val="Normal"/>
    <w:pPr>
      <w:keepNext w:val="1"/>
      <w:keepLines w:val="1"/>
      <w:spacing w:after="120" w:before="0" w:lineRule="auto" w:line="259"/>
      <w:ind w:firstLine="0" w:left="0" w:right="0"/>
    </w:pPr>
    <w:rPr>
      <w:rFonts w:ascii="Times New Roman" w:hAnsi="Times New Roman"/>
      <w:b w:val="1"/>
      <w:color w:val="000000"/>
      <w:sz w:val="24"/>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240" w:before="0" w:lineRule="auto" w:line="259"/>
      <w:ind w:firstLine="0" w:left="0" w:right="0"/>
    </w:pPr>
    <w:rPr>
      <w:rFonts w:ascii="Times New Roman" w:hAnsi="Times New Roman"/>
      <w:b/>
      <w:color w:val="000000"/>
      <w:sz w:val="28"/>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character" w:styleId="a4">
    <w:name w:val="Hyperlink"/>
    <w:basedOn w:val="a0"/>
    <w:uiPriority w:val="99"/>
    <w:unhideWhenUsed w:val="1"/>
    <w:rsid w:val="008026B0"/>
    <w:rPr>
      <w:color w:val="0000ff"/>
      <w:u w:val="single"/>
    </w:rPr>
  </w:style>
  <w:style w:type="paragraph" w:styleId="a5">
    <w:name w:val="Normal (Web)"/>
    <w:basedOn w:val="a"/>
    <w:uiPriority w:val="99"/>
    <w:semiHidden w:val="1"/>
    <w:unhideWhenUsed w:val="1"/>
    <w:rsid w:val="008026B0"/>
    <w:pPr>
      <w:spacing w:after="100" w:afterAutospacing="1" w:before="100" w:beforeAutospacing="1" w:line="240" w:lineRule="auto"/>
    </w:pPr>
    <w:rPr>
      <w:rFonts w:ascii="Times New Roman" w:cs="Times New Roman" w:eastAsia="Times New Roman" w:hAnsi="Times New Roman"/>
      <w:sz w:val="24"/>
      <w:szCs w:val="24"/>
    </w:rPr>
  </w:style>
  <w:style w:type="character" w:styleId="UnresolvedMention" w:customStyle="1">
    <w:name w:val="Unresolved Mention"/>
    <w:basedOn w:val="a0"/>
    <w:uiPriority w:val="99"/>
    <w:semiHidden w:val="1"/>
    <w:unhideWhenUsed w:val="1"/>
    <w:rsid w:val="00FC7ADB"/>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oMQU+4Cf4hEFmQ5Vb0iBVKg6zQ==">CgMxLjAyCGguZ2pkZ3hzMg5oLmdodzZmbnlpbndueDgAciExS1BuaU9xU0ZuS3VZNUpUYXZ2bURhemF1MVh4dnRiUVY=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2024-07-25T15:37:00Z</dcterms:created>
  <dc:creator>ООО «Радианс»</dc:creator>
  <cp:lastModifiedBy>ООО «Радианс»</cp:lastModifiedBy>
  <dc:title>Согласие на обработку персональных данных при обращении в сервис ОблаДом</dc:title>
  <dc:subject>Сервис ОблаДом</dc:subject>
  <dc:description/>
</cp:coreProperties>
</file>