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Title"/>
        <w:jc w:val="center"/>
      </w:pPr>
      <w:r>
        <w:t>Политика в отношении обработки персональных данных сервиса ОблаДом</w:t>
      </w:r>
    </w:p>
    <w:p>
      <w:pPr>
        <w:keepNext w:val="0"/>
        <w:widowControl/>
        <w:jc w:val="both"/>
      </w:pPr>
      <w:r>
        <w:t>Сайт https://obladom.ru/</w:t>
      </w:r>
    </w:p>
    <w:p>
      <w:pPr>
        <w:keepNext w:val="0"/>
        <w:widowControl/>
        <w:jc w:val="both"/>
      </w:pPr>
      <w:r>
        <w:rPr/>
        <w:t>Дата редакции и вступления в силу: 14 октября 2026 года.</w:t>
      </w:r>
    </w:p>
    <w:p>
      <w:pPr>
        <w:pStyle w:val="Heading1"/>
        <w:widowControl/>
        <w:jc w:val="left"/>
      </w:pPr>
      <w:r>
        <w:t>1 Оператор и область применения</w:t>
      </w:r>
    </w:p>
    <w:p>
      <w:pPr>
        <w:keepNext w:val="0"/>
        <w:widowControl/>
        <w:jc w:val="both"/>
      </w:pPr>
      <w:r>
        <w:t>1.1. ООО «Радианс», ОГРН 1260800002308, ИНН 0800038500, КПП 080001001 (далее — Оператор) определяет настоящей Политикой порядок обработки персональных данных посетителей Сайта, пользователей личного кабинета, заказчиков, их уполномоченных представителей и лиц, направляющих обращения в сервис «ОблаДом».</w:t>
      </w:r>
    </w:p>
    <w:p>
      <w:pPr>
        <w:keepNext w:val="0"/>
        <w:widowControl/>
        <w:jc w:val="both"/>
      </w:pPr>
      <w:r>
        <w:t>1.2. Юридический адрес Оператора: 420054, Республика Татарстан, г. Казань, ул. Техническая, д. 23А, склад 8. Почтовый адрес: 420025, Республика Татарстан, г. Казань, ул. Петра Полушкина, д. 6, кв. 264. Вопросы о персональных данных и заявления об отзыве согласия направляются по почтовому адресу Оператора.</w:t>
      </w:r>
    </w:p>
    <w:p>
      <w:pPr>
        <w:keepNext w:val="0"/>
        <w:widowControl/>
        <w:jc w:val="both"/>
      </w:pPr>
      <w:r>
        <w:t>1.3. Политика разработана в соответствии с Федеральным законом от 27.07.2006 № 152-ФЗ «О персональных данных» и применимым законодательством РФ. Она информирует об обработке данных и сама по себе не является согласием пользователя.</w:t>
      </w:r>
    </w:p>
    <w:p>
      <w:pPr>
        <w:keepNext w:val="0"/>
        <w:widowControl/>
        <w:jc w:val="both"/>
      </w:pPr>
      <w:r>
        <w:t>1.4. «ОблаДом» организует хранение физических вещей с забором, упаковкой при необходимости, фотофиксацией, учётом в цифровом каталоге и возвратом. Данные об идентифицируемом владельце вещей, связанные с описью, фотографиями и историей хранения, рассматриваются как персональные данные.</w:t>
      </w:r>
    </w:p>
    <w:p>
      <w:pPr>
        <w:pStyle w:val="Heading1"/>
        <w:widowControl/>
        <w:jc w:val="left"/>
      </w:pPr>
      <w:r>
        <w:t>2 Принципы и правовые основания</w:t>
      </w:r>
    </w:p>
    <w:p>
      <w:pPr>
        <w:keepNext w:val="0"/>
        <w:widowControl/>
        <w:jc w:val="both"/>
      </w:pPr>
      <w:r>
        <w:t>2.1. Данные обрабатываются законно, для конкретных заранее определённых целей, в необходимом и соразмерном объёме. Не допускаются несовместимое с первоначальными целями использование и объединение баз данных с несовместимыми целями. Оператор поддерживает точность данных и прекращает обработку после утраты её основания.</w:t>
      </w:r>
    </w:p>
    <w:p>
      <w:pPr>
        <w:keepNext w:val="0"/>
        <w:widowControl/>
        <w:jc w:val="both"/>
      </w:pPr>
      <w:r>
        <w:t>2.2. Основаниями служат: согласие субъекта в применимых случаях; заключение договора по его инициативе и исполнение договора; обязанности, возложенные законом; защита законных интересов Оператора или третьих лиц при соблюдении прав и свобод субъекта; иные прямо предусмотренные законом основания.</w:t>
      </w:r>
    </w:p>
    <w:p>
      <w:pPr>
        <w:keepNext w:val="0"/>
        <w:widowControl/>
        <w:jc w:val="both"/>
      </w:pPr>
      <w:r>
        <w:t>2.3. Данные для исполнения заказа не обрабатываются исключительно на основании согласия. Отзыв согласия не прекращает правомерную обработку, необходимую для действующего договора или обязательного хранения документов.</w:t>
      </w:r>
    </w:p>
    <w:p>
      <w:pPr>
        <w:keepNext w:val="0"/>
        <w:widowControl/>
        <w:jc w:val="both"/>
      </w:pPr>
      <w:r>
        <w:t>2.4. Согласие оформляется отдельно от иных подтверждаемых пользователем документов. Отказ от необязательной обработки не препятствует получению основной услуги. Последствия непредоставления обязательных для договора сведений разъясняются до их сбора.</w:t>
      </w:r>
    </w:p>
    <w:p>
      <w:pPr>
        <w:pStyle w:val="Heading1"/>
        <w:widowControl/>
        <w:jc w:val="left"/>
      </w:pPr>
      <w:r>
        <w:t>3 Цели и состав данных</w:t>
      </w:r>
    </w:p>
    <w:p>
      <w:pPr>
        <w:keepNext w:val="0"/>
        <w:widowControl/>
        <w:jc w:val="both"/>
      </w:pPr>
      <w:r>
        <w:t>3.1. Рассмотрение обращения и подготовка ответа. Субъекты — лица, направившие вопрос. Данные — имя, выбранные контактные сведения (телефон и/или email), текст обращения и необходимая переписка. Основание — отдельное согласие, а при обращении по договору или с предусмотренным законом требованием — соответствующее договорное или законное основание. Для обычного обращения данные обрабатываются до завершения ответа, но не более 90 календарных дней после последнего сообщения, если не возникло иное законное основание.</w:t>
      </w:r>
    </w:p>
    <w:p>
      <w:pPr>
        <w:keepNext w:val="0"/>
        <w:widowControl/>
        <w:jc w:val="both"/>
      </w:pPr>
      <w:r>
        <w:t>3.2. Регистрация, авторизация и безопасность кабинета. Субъекты — пользователи. Данные — имя, телефон, email в объёме выбранного способа входа, идентификатор аккаунта, защищённые сведения аутентификации, события входа, IP-адрес, сведения о браузере и устройстве, технические идентификаторы сеанса. Основание — договор об использовании сервиса и обеспечение его безопасности при соблюдении прав субъекта. Данные кабинета обрабатываются в период его использования, а после закрытия удаляются в течение 30 дней, кроме сведений, сохраняемых на отдельном законном основании. Журналы безопасности хранятся до 90 дней, если конкретный инцидент не требует обоснованного продолжения хранения.</w:t>
      </w:r>
    </w:p>
    <w:p>
      <w:pPr>
        <w:keepNext w:val="0"/>
        <w:widowControl/>
        <w:jc w:val="both"/>
      </w:pPr>
      <w:r>
        <w:t>3.3. Оформление и исполнение хранения, забора и возврата. Субъекты — заказчики и уполномоченные получатели. Данные — ФИО, контактный телефон, email, адреса забора и возврата, сведения о доступе по адресу, интервалы доставки, состав и стоимость заказа, описи, фотографии вещей, QR-коды и иные идентификаторы, состояние, комплектность, оценочная стоимость, история действий с вещами, сведения о полномочиях получателя. Основание — заключение и исполнение договора; для данных представителя — применимое законное основание с информированием этого лица. Данные хранятся в течение договора и, в объёме, необходимом для защиты прав сторон, в течение трёх лет после его исполнения; более длительное хранение допускается при наличии конкретного спора или обязанности по закону.</w:t>
      </w:r>
    </w:p>
    <w:p>
      <w:pPr>
        <w:keepNext w:val="0"/>
        <w:widowControl/>
        <w:jc w:val="both"/>
      </w:pPr>
      <w:r>
        <w:t>3.4. Расчёты и обязательный учёт. Данные — ФИО и контакты плательщика в необходимом объёме, номер заказа, сумма, дата и статус платежа, сведения чека и возврата, реквизиты, необходимые для возврата средств. Основание — договор и законодательство о расчётах, налогах и бухгалтерском учёте. Документы хранятся в установленные соответствующим законом сроки, в том числе бухгалтерские первичные документы — не менее пяти лет после отчётного года. Полные реквизиты банковской карты и защитный код не должны передаваться в формы Оператора; их обработка производится выбранным платёжным сервисом на его защищённой странице.</w:t>
      </w:r>
    </w:p>
    <w:p>
      <w:pPr>
        <w:keepNext w:val="0"/>
        <w:widowControl/>
        <w:jc w:val="both"/>
      </w:pPr>
      <w:r>
        <w:t>3.5. Претензии и защита прав. Данные — сведения о заявителе, договоре, спорных обстоятельствах, необходимые подтверждения и переписка. Основание — обязанности по закону и защита прав сторон. Срок — до рассмотрения требования и окончания применимых сроков защиты и исполнения решений; после прекращения основания данные уничтожаются в установленный законом срок.</w:t>
      </w:r>
    </w:p>
    <w:p>
      <w:pPr>
        <w:keepNext w:val="0"/>
        <w:widowControl/>
        <w:jc w:val="both"/>
      </w:pPr>
      <w:r>
        <w:t>3.6. Анализ посещаемости и улучшение Сайта. Субъекты — посетители, давшие отдельное согласие. Данные — IP-адрес, идентификаторы cookie и сеанса, сведения о браузере, устройстве и операционной системе, разрешение экрана, язык, источник перехода, адреса посещённых страниц, даты, время и действия на страницах, приблизительный регион, определяемый по техническим данным. Используется Яндекс Метрика. Основание — отдельное согласие на аналитику; условия приведены в разделе 6.</w:t>
      </w:r>
    </w:p>
    <w:p>
      <w:pPr>
        <w:keepNext w:val="0"/>
        <w:widowControl/>
        <w:jc w:val="both"/>
      </w:pPr>
      <w:r>
        <w:t>3.7. Рекламные рассылки, ретаргетинг, публикация отзывов с данными и размещение фотографий клиентов в открытом доступе не входят в перечисленные цели. Если такие процессы вводятся, для них предварительно определяются отдельные основания, состав данных и сроки, предоставляется информация субъектам и получаются необходимые отдельные согласия.</w:t>
      </w:r>
    </w:p>
    <w:p>
      <w:pPr>
        <w:pStyle w:val="Heading1"/>
        <w:widowControl/>
        <w:jc w:val="left"/>
      </w:pPr>
      <w:r>
        <w:t>4 Источники и способы обработки</w:t>
      </w:r>
    </w:p>
    <w:p>
      <w:pPr>
        <w:keepNext w:val="0"/>
        <w:widowControl/>
        <w:jc w:val="both"/>
      </w:pPr>
      <w:r>
        <w:t>4.1. Данные предоставляются пользователем через Сайт и при взаимодействии с Оператором, создаются при исполнении заказа, а технические сведения поступают при работе Сайта. При получении данных представителя от заказчика Оператор обеспечивает необходимое информирование субъекта и наличие основания обработки. Одного заявления заказчика о согласии третьего лица недостаточно, если закон требует иного подтверждения.</w:t>
      </w:r>
    </w:p>
    <w:p>
      <w:pPr>
        <w:keepNext w:val="0"/>
        <w:widowControl/>
        <w:jc w:val="both"/>
      </w:pPr>
      <w:r>
        <w:t>4.2. Обработка выполняется с использованием средств автоматизации и без них и включает необходимые для соответствующей цели сбор, запись, систематизацию, накопление, хранение, уточнение, извлечение, использование, предоставление и доступ на законных основаниях, блокирование, удаление и уничтожение; обезличивание применяется для разрешённых статистических целей.</w:t>
      </w:r>
    </w:p>
    <w:p>
      <w:pPr>
        <w:keepNext w:val="0"/>
        <w:widowControl/>
        <w:jc w:val="both"/>
      </w:pPr>
      <w:r>
        <w:t>4.3. Оператор не запрашивает специальные категории данных о здоровье, убеждениях и иных обстоятельствах, предусмотренных статьёй 10 Закона № 152-ФЗ, и биометрические данные для установления личности. Случайно переданные избыточные сведения подлежат исключению из обработки, если отсутствует самостоятельное законное основание.</w:t>
      </w:r>
    </w:p>
    <w:p>
      <w:pPr>
        <w:keepNext w:val="0"/>
        <w:widowControl/>
        <w:jc w:val="both"/>
      </w:pPr>
      <w:r>
        <w:t>4.4. Фотосъёмка направлена на вещи и их состояние. В кадр не должны попадать лица, документы и иная информация, не нужная для исполнения заказа. Необоснованная съёмка интерьера жилья не производится.</w:t>
      </w:r>
    </w:p>
    <w:p>
      <w:pPr>
        <w:pStyle w:val="Heading1"/>
        <w:widowControl/>
        <w:jc w:val="left"/>
      </w:pPr>
      <w:r>
        <w:t>5 Доступ и передача данных</w:t>
      </w:r>
    </w:p>
    <w:p>
      <w:pPr>
        <w:keepNext w:val="0"/>
        <w:widowControl/>
        <w:jc w:val="both"/>
      </w:pPr>
      <w:r>
        <w:t>5.1. Доступ предоставляется только уполномоченным сотрудникам в объёме их обязанностей. Передача исполнителям доставки, хранения, связи, размещения информационных систем или платежей возможна лишь при наличии законного основания, необходимости и установленных договором требований к защите данных.</w:t>
      </w:r>
    </w:p>
    <w:p>
      <w:pPr>
        <w:keepNext w:val="0"/>
        <w:widowControl/>
        <w:jc w:val="both"/>
      </w:pPr>
      <w:r>
        <w:t>5.2. При поручении обработки другому лицу Оператор определяет в договоре цели, перечни данных и операций, требования конфиденциальности, безопасности, уведомления об инцидентах и прекращения обработки. Если необходимо согласие субъекта на поручение, оно получается до передачи. Оператор несёт предусмотренную законом ответственность перед субъектом.</w:t>
      </w:r>
    </w:p>
    <w:p>
      <w:pPr>
        <w:keepNext w:val="0"/>
        <w:widowControl/>
        <w:jc w:val="both"/>
      </w:pPr>
      <w:r>
        <w:t>5.3. Для веб-аналитики данные передаются ООО «ЯНДЕКС», адрес: 119021, г. Москва, ул. Льва Толстого, д. 16, на условиях отдельного согласия и документов сервиса Яндекс Метрика. Условия сервиса: https://yandex.ru/legal/metrica_termsofuse/ru/; политика конфиденциальности: https://yandex.ru/legal/confidential/.</w:t>
      </w:r>
    </w:p>
    <w:p>
      <w:pPr>
        <w:keepNext w:val="0"/>
        <w:widowControl/>
        <w:jc w:val="both"/>
      </w:pPr>
      <w:r>
        <w:t>5.4. Данные могут предоставляться компетентным государственным органам на законных основаниях. Продажа персональных данных и их публикация для неограниченного круга лиц настоящей Политикой не предусмотрены.</w:t>
      </w:r>
    </w:p>
    <w:p>
      <w:pPr>
        <w:keepNext w:val="0"/>
        <w:widowControl/>
        <w:jc w:val="both"/>
      </w:pPr>
      <w:r>
        <w:t>5.5. При сборе персональных данных граждан РФ Оператор обязан соблюдать требования части 5 статьи 18 Закона № 152-ФЗ к базам данных на территории РФ. До начала трансграничной передачи должны быть выполнены требования статьи 12 указанного закона, включая необходимые уведомления и проверку оснований. Настоящая Политика не является самостоятельным разрешением на такую передачу.</w:t>
      </w:r>
    </w:p>
    <w:p>
      <w:pPr>
        <w:pStyle w:val="Heading1"/>
        <w:keepNext/>
        <w:widowControl/>
        <w:jc w:val="left"/>
      </w:pPr>
      <w:r>
        <w:t>6 Файлы cookie и Яндекс Метрика</w:t>
      </w:r>
    </w:p>
    <w:p>
      <w:pPr>
        <w:keepNext w:val="0"/>
        <w:widowControl/>
        <w:jc w:val="both"/>
      </w:pPr>
      <w:r>
        <w:t>6.1. Технически необходимые cookie и аналогичные идентификаторы используются для авторизации, защиты сеанса и сохранения необходимых параметров работы сервиса. Их обработка ограничивается соответствующей функцией и законным основанием. Отключение необходимых cookie в браузере может нарушить работу отдельных функций.</w:t>
      </w:r>
    </w:p>
    <w:p>
      <w:pPr>
        <w:keepNext w:val="0"/>
        <w:widowControl/>
        <w:jc w:val="both"/>
      </w:pPr>
      <w:r>
        <w:t>6.2. Аналитические cookie и Яндекс Метрика включаются только после отдельного активного выбора пользователя. Продолжение просмотра, прокрутка страницы или закрытие уведомления не признаются согласием. Отказ от аналитики не блокирует основной доступ к Сайту.</w:t>
      </w:r>
    </w:p>
    <w:p>
      <w:pPr>
        <w:keepNext w:val="0"/>
        <w:widowControl/>
        <w:jc w:val="both"/>
      </w:pPr>
      <w:r>
        <w:t>6.3. Назначение аналитики — статистика посещений, выявление ошибок и улучшение удобства Сайта. Настоящая редакция не предусматривает рекламное профилирование, ретаргетинг или запись содержимого полей через Вебвизор. Контакты, адреса, пароли, коды входа, сведения платежей и содержимое личного кабинета не должны передаваться в аналитику.</w:t>
      </w:r>
    </w:p>
    <w:p>
      <w:pPr>
        <w:keepNext w:val="0"/>
        <w:widowControl/>
        <w:jc w:val="both"/>
      </w:pPr>
      <w:r>
        <w:t>6.4. Согласие на аналитику действует один год с его предоставления либо до более раннего отзыва. Идентифицируемые аналитические сведения используются не более 12 месяцев с их сбора; конкретные cookie могут иметь меньший срок. Перечень стандартных cookie и их сроки опубликованы Яндексом: https://yandex.ru/support/metrica/ru/general/cookie-usage.</w:t>
      </w:r>
    </w:p>
    <w:p>
      <w:pPr>
        <w:keepNext w:val="0"/>
        <w:widowControl/>
        <w:jc w:val="both"/>
      </w:pPr>
      <w:r>
        <w:t>6.5. Отозвать согласие можно через настройки cookie на Сайте. Для прекращения сбора на устройстве пользователь также может удалить cookie или изменить настройки браузера. Требование об удалении уже обработанных персональных данных можно направить по почтовому адресу Оператора.</w:t>
      </w:r>
    </w:p>
    <w:p>
      <w:pPr>
        <w:pStyle w:val="Heading1"/>
        <w:widowControl/>
        <w:jc w:val="left"/>
      </w:pPr>
      <w:r>
        <w:t>7 Сроки прекращения и уничтожения</w:t>
      </w:r>
    </w:p>
    <w:p>
      <w:pPr>
        <w:keepNext w:val="0"/>
        <w:widowControl/>
        <w:jc w:val="both"/>
      </w:pPr>
      <w:r>
        <w:t>7.1. По достижении цели либо отзыве согласия при отсутствии другого законного основания Оператор прекращает соответствующую обработку и уничтожает данные в сроки, предусмотренные законом, как правило не позднее 30 дней с наступления соответствующего основания.</w:t>
      </w:r>
    </w:p>
    <w:p>
      <w:pPr>
        <w:keepNext w:val="0"/>
        <w:widowControl/>
        <w:jc w:val="both"/>
      </w:pPr>
      <w:r>
        <w:t>7.2. При выявлении неправомерной обработки, неточных данных или получении требования прекратить обработку применяются специальные сроки и процедуры статей 20 и 21 Закона № 152-ФЗ. На время проверки данные блокируются в предусмотренных законом случаях.</w:t>
      </w:r>
    </w:p>
    <w:p>
      <w:pPr>
        <w:keepNext w:val="0"/>
        <w:widowControl/>
        <w:jc w:val="both"/>
      </w:pPr>
      <w:r>
        <w:t>7.3. Если уничтожение в установленный срок невозможно, данные блокируются и уничтожаются в срок, установленный законом. Удаление охватывает рабочие системы и подконтрольные копии; резервные копии не используются для возобновления обработки без основания. Уничтожение подтверждается в установленном порядке.</w:t>
      </w:r>
    </w:p>
    <w:p>
      <w:pPr>
        <w:keepNext w:val="0"/>
        <w:widowControl/>
        <w:jc w:val="both"/>
      </w:pPr>
      <w:r>
        <w:t>7.4. Обезличенная статистика может сохраняться лишь при действительном исключении возможности отнесения сведений к конкретному субъекту и наличии законного основания. Простая замена имени кодом сама по себе не делает данные анонимными.</w:t>
      </w:r>
    </w:p>
    <w:p>
      <w:pPr>
        <w:pStyle w:val="Heading1"/>
        <w:widowControl/>
        <w:jc w:val="left"/>
      </w:pPr>
      <w:r>
        <w:t>8 Права субъекта и обращения</w:t>
      </w:r>
    </w:p>
    <w:p>
      <w:pPr>
        <w:keepNext w:val="0"/>
        <w:widowControl/>
        <w:jc w:val="both"/>
      </w:pPr>
      <w:r>
        <w:t>8.1. Субъект вправе получать сведения об обработке и доступ к своим данным, требовать уточнения, блокирования и уничтожения в предусмотренных законом случаях, отзывать согласие, требовать прекращения обработки и обжаловать действия Оператора в Роскомнадзор или суд.</w:t>
      </w:r>
    </w:p>
    <w:p>
      <w:pPr>
        <w:keepNext w:val="0"/>
        <w:widowControl/>
        <w:jc w:val="both"/>
      </w:pPr>
      <w:r>
        <w:t>8.2. Запрос направляется по почтовому адресу Оператора. Для запроса по статье 14 Закона № 152-ФЗ указываются предусмотренные законом сведения, позволяющие установить заявителя и его отношения с Оператором. Дополнительные данные запрашиваются только в необходимом для идентификации объёме; копия паспорта по умолчанию не требуется.</w:t>
      </w:r>
    </w:p>
    <w:p>
      <w:pPr>
        <w:keepNext w:val="0"/>
        <w:widowControl/>
        <w:jc w:val="both"/>
      </w:pPr>
      <w:r>
        <w:t>8.3. Сведения о персональных данных предоставляются в течение 10 рабочих дней с момента получения обращения или запроса; срок может быть продлён не более чем на пять рабочих дней при направлении мотивированного уведомления, если это допускается законом. Для иных требований применяются установленные законом специальные сроки.</w:t>
      </w:r>
    </w:p>
    <w:p>
      <w:pPr>
        <w:keepNext w:val="0"/>
        <w:widowControl/>
        <w:jc w:val="both"/>
      </w:pPr>
      <w:r>
        <w:t>8.4. Отзыв не влияет на законность ранее совершённой обработки и не отменяет обработку на самостоятельном законном основании. Оператор разъясняет, какие сведения и по какому основанию должны сохраняться.</w:t>
      </w:r>
    </w:p>
    <w:p>
      <w:pPr>
        <w:pStyle w:val="Heading1"/>
        <w:widowControl/>
        <w:jc w:val="left"/>
      </w:pPr>
      <w:r>
        <w:t>9 Безопасность и актуализация</w:t>
      </w:r>
    </w:p>
    <w:p>
      <w:pPr>
        <w:keepNext w:val="0"/>
        <w:widowControl/>
        <w:jc w:val="both"/>
      </w:pPr>
      <w:r>
        <w:t>9.1. Оператор обязан применять необходимые правовые, организационные и технические меры защиты, включая разграничение доступа, учёт действий, защиту каналов связи и учётных данных, резервирование, контроль доступа к помещениям, обучение допущенных сотрудников и оценку применяемых мер.</w:t>
      </w:r>
    </w:p>
    <w:p>
      <w:pPr>
        <w:keepNext w:val="0"/>
        <w:widowControl/>
        <w:jc w:val="both"/>
      </w:pPr>
      <w:r>
        <w:t>9.2. При установлении факта неправомерной или случайной передачи либо доступа, повлекшего нарушение прав субъектов, Оператор выполняет предусмотренные законом обязанности по уведомлению Роскомнадзора, в том числе в течение 24 часов об инциденте и в течение 72 часов о результатах внутреннего расследования.</w:t>
      </w:r>
    </w:p>
    <w:p>
      <w:pPr>
        <w:keepNext w:val="0"/>
        <w:widowControl/>
        <w:jc w:val="both"/>
      </w:pPr>
      <w:r>
        <w:t>9.3. Политика размещается в свободном доступе на Сайте. Изменение Политики не расширяет автоматически ранее предоставленные согласия: при новых целях или объёме обработки предоставляется соответствующая информация и, когда требуется, запрашивается новое согласие.</w:t>
      </w:r>
    </w:p>
    <w:p>
      <w:pPr>
        <w:pStyle w:val="Heading1"/>
        <w:widowControl/>
        <w:jc w:val="left"/>
      </w:pPr>
      <w:r>
        <w:t>10 Контакты Оператора</w:t>
      </w:r>
    </w:p>
    <w:p>
      <w:pPr>
        <w:keepNext w:val="0"/>
        <w:widowControl/>
        <w:jc w:val="both"/>
      </w:pPr>
      <w:r>
        <w:t>Полное наименование: Общество с ограниченной ответственностью «Радианс».</w:t>
      </w:r>
    </w:p>
    <w:p>
      <w:pPr>
        <w:keepNext w:val="0"/>
        <w:widowControl/>
        <w:jc w:val="both"/>
      </w:pPr>
      <w:r>
        <w:t>ОГРН: 1260800002308. ИНН: 0800038500. КПП: 080001001.</w:t>
      </w:r>
    </w:p>
    <w:p>
      <w:pPr>
        <w:keepNext w:val="0"/>
        <w:widowControl/>
        <w:jc w:val="both"/>
      </w:pPr>
      <w:r>
        <w:t>Юридический адрес: 420054, Республика Татарстан, г. Казань, ул. Техническая, д. 23А, склад 8.</w:t>
      </w:r>
    </w:p>
    <w:p>
      <w:pPr>
        <w:keepNext w:val="0"/>
        <w:widowControl/>
        <w:jc w:val="both"/>
      </w:pPr>
      <w:r>
        <w:t>Почтовый адрес для обращений: 420025, Республика Татарстан, г. Казань, ул. Петра Полушкина, д. 6, кв. 264.</w:t>
      </w:r>
    </w:p>
    <w:p>
      <w:pPr>
        <w:keepNext w:val="0"/>
        <w:widowControl/>
        <w:jc w:val="both"/>
      </w:pPr>
      <w:r>
        <w:t>Телефон: +7 917 898-28-98.</w:t>
      </w:r>
    </w:p>
    <w:p>
      <w:pPr>
        <w:keepNext w:val="0"/>
        <w:widowControl/>
        <w:jc w:val="both"/>
      </w:pPr>
      <w:r>
        <w:t>Сайт сервиса «ОблаДом»: https://obladom.ru/.</w:t>
      </w:r>
    </w:p>
    <w:sectPr>
      <w:headerReference w:type="default" r:id="rId7"/>
      <w:footerReference w:type="default" r:id="rId8"/>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paragraph" w:styleId="Normal" w:default="1">
    <w:name w:val="normal"/>
    <w:pPr>
      <w:spacing w:before="0" w:after="120" w:line="259" w:lineRule="auto"/>
      <w:ind w:firstLine="0" w:left="0" w:right="0"/>
    </w:pPr>
    <w:rPr>
      <w:rFonts w:ascii="Times New Roman" w:hAnsi="Times New Roman"/>
      <w:color w:val="000000"/>
      <w:sz w:val="24"/>
    </w:rPr>
  </w:style>
  <w:style w:type="table" w:styleId="TableNormal" w:default="1">
    <w:name w:val="TableNormal"/>
  </w:style>
  <w:style w:type="paragraph" w:styleId="Heading1">
    <w:name w:val="heading 1"/>
    <w:basedOn w:val="Normal"/>
    <w:next w:val="Normal"/>
    <w:pPr>
      <w:keepNext/>
      <w:keepLines w:val="1"/>
      <w:pageBreakBefore w:val="0"/>
      <w:spacing w:after="120" w:before="160" w:lineRule="auto" w:line="259"/>
      <w:ind w:firstLine="0" w:left="0" w:right="0"/>
    </w:pPr>
    <w:rPr>
      <w:rFonts w:ascii="Times New Roman" w:hAnsi="Times New Roman"/>
      <w:b/>
      <w:color w:val="000000"/>
      <w:sz w:val="24"/>
      <w:szCs w:val="48"/>
    </w:rPr>
  </w:style>
  <w:style w:type="paragraph" w:styleId="Heading2">
    <w:name w:val="heading 2"/>
    <w:basedOn w:val="Normal"/>
    <w:next w:val="Normal"/>
    <w:pPr>
      <w:keepNext w:val="1"/>
      <w:keepLines w:val="1"/>
      <w:pageBreakBefore w:val="0"/>
      <w:spacing w:after="120" w:before="0" w:lineRule="auto" w:line="259"/>
      <w:ind w:firstLine="0" w:left="0" w:right="0"/>
    </w:pPr>
    <w:rPr>
      <w:rFonts w:ascii="Times New Roman" w:hAnsi="Times New Roman"/>
      <w:b w:val="1"/>
      <w:color w:val="000000"/>
      <w:sz w:val="24"/>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240" w:before="0" w:lineRule="auto" w:line="259"/>
      <w:ind w:firstLine="0" w:left="0" w:right="0"/>
    </w:pPr>
    <w:rPr>
      <w:rFonts w:ascii="Times New Roman" w:hAnsi="Times New Roman"/>
      <w:b/>
      <w:color w:val="000000"/>
      <w:sz w:val="28"/>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rmal (Web)"/>
    <w:basedOn w:val="a"/>
    <w:uiPriority w:val="99"/>
    <w:semiHidden w:val="1"/>
    <w:unhideWhenUsed w:val="1"/>
    <w:rsid w:val="00F3150F"/>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4">
    <w:name w:val="Hyperlink"/>
    <w:basedOn w:val="a0"/>
    <w:uiPriority w:val="99"/>
    <w:unhideWhenUsed w:val="1"/>
    <w:rsid w:val="00F3150F"/>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JGj/LOD2qfEKzkSLh3U/d4uPVQ==">CgMxLjAyDmgubW5odHMwZ2p4MDV6OAByITFQVTIyYTNGa2xjY2tCTmdoanE0dTVsbk9WOUM4ck0xQg==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2025-07-04T10:05:00Z</dcterms:created>
  <dc:creator>ООО «Радианс»</dc:creator>
  <cp:lastModifiedBy>ООО «Радианс»</cp:lastModifiedBy>
  <dc:title>Политика в отношении обработки персональных данных сервиса ОблаДом</dc:title>
  <dc:subject>Сервис ОблаДом</dc:subject>
  <dc:description/>
</cp:coreProperties>
</file>